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220"/>
        <w:gridCol w:w="5025"/>
        <w:gridCol w:w="2280"/>
      </w:tblGrid>
      <w:tr w:rsidR="7B4A52E0" w14:paraId="47ABE51D" w14:textId="77777777" w:rsidTr="37A0B3A6">
        <w:trPr>
          <w:trHeight w:val="1008"/>
        </w:trPr>
        <w:tc>
          <w:tcPr>
            <w:tcW w:w="11190" w:type="dxa"/>
            <w:gridSpan w:val="4"/>
            <w:vAlign w:val="center"/>
          </w:tcPr>
          <w:p w14:paraId="62A657A0" w14:textId="21E59168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bookmarkStart w:id="0" w:name="_GoBack"/>
            <w:bookmarkEnd w:id="0"/>
            <w:r w:rsidRPr="37A0B3A6">
              <w:rPr>
                <w:b/>
                <w:bCs/>
              </w:rPr>
              <w:t>Standard:</w:t>
            </w:r>
            <w:r w:rsidR="001E1524" w:rsidRPr="37A0B3A6">
              <w:rPr>
                <w:b/>
                <w:bCs/>
              </w:rPr>
              <w:t xml:space="preserve"> </w:t>
            </w:r>
            <w:r w:rsidRPr="37A0B3A6">
              <w:rPr>
                <w:b/>
                <w:bCs/>
              </w:rPr>
              <w:t xml:space="preserve"> </w:t>
            </w:r>
            <w:r w:rsidR="001E1524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LET II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I/ IV</w:t>
            </w:r>
            <w:r w:rsidR="001E1524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U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nit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– 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Command and Staff Roles</w:t>
            </w:r>
            <w:r w:rsidR="0DB7F457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3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09A0D64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4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) 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and Leadership Accomplishment</w:t>
            </w:r>
            <w:r w:rsidR="006E5E00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(U4C1C1)</w:t>
            </w:r>
            <w:r w:rsidR="00C62491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441E2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25</w:t>
            </w:r>
            <w:r w:rsidR="00C62491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002656B5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="00441E2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9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Aug 2025 (</w:t>
            </w:r>
            <w:r w:rsidR="00C62491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Week T</w:t>
            </w:r>
            <w:r w:rsidR="00B73CCB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hree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)</w:t>
            </w:r>
          </w:p>
          <w:p w14:paraId="195C04F8" w14:textId="1F64D589" w:rsidR="7B4A52E0" w:rsidRDefault="00A007EB" w:rsidP="7B4A52E0">
            <w:hyperlink r:id="rId10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4C650057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28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28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37A0B3A6">
        <w:trPr>
          <w:trHeight w:val="764"/>
        </w:trPr>
        <w:tc>
          <w:tcPr>
            <w:tcW w:w="166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5025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280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37A0B3A6">
        <w:trPr>
          <w:trHeight w:val="287"/>
        </w:trPr>
        <w:tc>
          <w:tcPr>
            <w:tcW w:w="1665" w:type="dxa"/>
            <w:vMerge/>
          </w:tcPr>
          <w:p w14:paraId="178AC6A0" w14:textId="77777777" w:rsidR="00286661" w:rsidRDefault="00286661"/>
        </w:tc>
        <w:tc>
          <w:tcPr>
            <w:tcW w:w="2220" w:type="dxa"/>
            <w:vMerge/>
          </w:tcPr>
          <w:p w14:paraId="071DA5F3" w14:textId="77777777" w:rsidR="00286661" w:rsidRDefault="00286661"/>
        </w:tc>
        <w:tc>
          <w:tcPr>
            <w:tcW w:w="5025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280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37A0B3A6">
        <w:trPr>
          <w:trHeight w:val="1268"/>
        </w:trPr>
        <w:tc>
          <w:tcPr>
            <w:tcW w:w="166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20" w:type="dxa"/>
            <w:vAlign w:val="center"/>
          </w:tcPr>
          <w:p w14:paraId="643BC543" w14:textId="69CE56BB" w:rsidR="001E1524" w:rsidRDefault="00C62491" w:rsidP="7B4A52E0">
            <w:pPr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 w:rsidR="003B4831">
              <w:rPr>
                <w:sz w:val="20"/>
                <w:szCs w:val="20"/>
              </w:rPr>
              <w:t>about Command and Staff Roles</w:t>
            </w:r>
          </w:p>
        </w:tc>
        <w:tc>
          <w:tcPr>
            <w:tcW w:w="5025" w:type="dxa"/>
          </w:tcPr>
          <w:p w14:paraId="0CE533FC" w14:textId="77777777" w:rsidR="00835398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29407A1C" w14:textId="601140E1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2B903DC7" w14:textId="77777777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</w:p>
          <w:p w14:paraId="1085E688" w14:textId="77777777" w:rsidR="00AC7286" w:rsidRPr="00AC7286" w:rsidRDefault="00C62491" w:rsidP="00AC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A0D64">
              <w:rPr>
                <w:sz w:val="20"/>
                <w:szCs w:val="20"/>
              </w:rPr>
              <w:t>3</w:t>
            </w:r>
            <w:r w:rsidR="003B4831">
              <w:rPr>
                <w:sz w:val="20"/>
                <w:szCs w:val="20"/>
              </w:rPr>
              <w:t>5</w:t>
            </w:r>
            <w:r w:rsidR="009A0D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mins) </w:t>
            </w:r>
            <w:r w:rsidR="00D558C2">
              <w:rPr>
                <w:sz w:val="20"/>
                <w:szCs w:val="20"/>
              </w:rPr>
              <w:t xml:space="preserve">Conduct a PowerPoint on </w:t>
            </w:r>
            <w:r w:rsidR="00AC7286" w:rsidRPr="00AC7286">
              <w:rPr>
                <w:sz w:val="20"/>
                <w:szCs w:val="20"/>
              </w:rPr>
              <w:t xml:space="preserve">Leadership </w:t>
            </w:r>
          </w:p>
          <w:p w14:paraId="08F47CD8" w14:textId="7BE99D1C" w:rsidR="00C62491" w:rsidRDefault="00AC7286" w:rsidP="00AC7286">
            <w:pPr>
              <w:rPr>
                <w:sz w:val="20"/>
                <w:szCs w:val="20"/>
              </w:rPr>
            </w:pPr>
            <w:r w:rsidRPr="00AC7286">
              <w:rPr>
                <w:sz w:val="20"/>
                <w:szCs w:val="20"/>
              </w:rPr>
              <w:t>Command and Staff Roles</w:t>
            </w:r>
            <w:r w:rsidR="00D558C2">
              <w:rPr>
                <w:sz w:val="20"/>
                <w:szCs w:val="20"/>
              </w:rPr>
              <w:t>.</w:t>
            </w:r>
          </w:p>
          <w:p w14:paraId="62F670D0" w14:textId="77777777" w:rsidR="004F57A0" w:rsidRDefault="003B4831" w:rsidP="003B483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(10 mins) </w:t>
            </w:r>
            <w:r w:rsidR="004F57A0">
              <w:rPr>
                <w:color w:val="000000" w:themeColor="text1"/>
                <w:sz w:val="20"/>
                <w:szCs w:val="20"/>
              </w:rPr>
              <w:t xml:space="preserve">Provide a Frayer model for the following  key words: </w:t>
            </w:r>
            <w:r w:rsidR="004F57A0" w:rsidRPr="004F57A0">
              <w:rPr>
                <w:sz w:val="20"/>
                <w:szCs w:val="20"/>
              </w:rPr>
              <w:t>command channels • coordinating staff • logistics • personal staff • staff channels</w:t>
            </w:r>
          </w:p>
          <w:p w14:paraId="37C0D9AF" w14:textId="77777777" w:rsidR="00AC7286" w:rsidRDefault="00AC7286" w:rsidP="003B4831">
            <w:pPr>
              <w:rPr>
                <w:color w:val="000000" w:themeColor="text1"/>
                <w:sz w:val="20"/>
                <w:szCs w:val="20"/>
              </w:rPr>
            </w:pPr>
          </w:p>
          <w:p w14:paraId="33E0F337" w14:textId="3F7A092B" w:rsidR="00AC7286" w:rsidRPr="00AC7286" w:rsidRDefault="00AC7286" w:rsidP="003B483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AC7286">
              <w:rPr>
                <w:b/>
                <w:bCs/>
                <w:color w:val="000000" w:themeColor="text1"/>
                <w:sz w:val="20"/>
                <w:szCs w:val="20"/>
              </w:rPr>
              <w:t xml:space="preserve">Turn In Pre- inspection sheet </w:t>
            </w:r>
          </w:p>
        </w:tc>
        <w:tc>
          <w:tcPr>
            <w:tcW w:w="2280" w:type="dxa"/>
            <w:vMerge w:val="restart"/>
            <w:vAlign w:val="center"/>
          </w:tcPr>
          <w:p w14:paraId="66FB22B4" w14:textId="0AA12D6C" w:rsidR="7B4A52E0" w:rsidRDefault="00A007E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5028">
              <w:rPr>
                <w:color w:val="000000" w:themeColor="text1"/>
                <w:sz w:val="20"/>
                <w:szCs w:val="20"/>
              </w:rPr>
              <w:t>Know</w:t>
            </w:r>
            <w:r w:rsidR="0040733D">
              <w:rPr>
                <w:color w:val="000000" w:themeColor="text1"/>
                <w:sz w:val="20"/>
                <w:szCs w:val="20"/>
              </w:rPr>
              <w:t xml:space="preserve"> the</w:t>
            </w:r>
            <w:r w:rsidR="00295028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733D">
              <w:rPr>
                <w:color w:val="000000" w:themeColor="text1"/>
                <w:sz w:val="20"/>
                <w:szCs w:val="20"/>
              </w:rPr>
              <w:t>JPA is.</w:t>
            </w:r>
          </w:p>
          <w:p w14:paraId="2F28574A" w14:textId="06274873" w:rsidR="00295028" w:rsidRDefault="00A007E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204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>
              <w:rPr>
                <w:color w:val="000000" w:themeColor="text1"/>
                <w:sz w:val="20"/>
                <w:szCs w:val="20"/>
              </w:rPr>
              <w:t xml:space="preserve"> Know </w:t>
            </w:r>
            <w:r w:rsidR="0040733D">
              <w:rPr>
                <w:color w:val="000000" w:themeColor="text1"/>
                <w:sz w:val="20"/>
                <w:szCs w:val="20"/>
              </w:rPr>
              <w:t xml:space="preserve">how </w:t>
            </w:r>
            <w:r w:rsidR="00AC7286">
              <w:rPr>
                <w:color w:val="000000" w:themeColor="text1"/>
                <w:sz w:val="20"/>
                <w:szCs w:val="20"/>
              </w:rPr>
              <w:t>each Staff position contributes to our current continuous Improvement goal of improving discipline</w:t>
            </w:r>
            <w:r w:rsidR="00A977D3">
              <w:rPr>
                <w:color w:val="000000" w:themeColor="text1"/>
                <w:sz w:val="20"/>
                <w:szCs w:val="20"/>
              </w:rPr>
              <w:t>.</w:t>
            </w:r>
          </w:p>
          <w:p w14:paraId="488BC2C4" w14:textId="2667DDD7" w:rsidR="00174587" w:rsidRDefault="00A007E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A977D3">
              <w:rPr>
                <w:color w:val="000000" w:themeColor="text1"/>
                <w:sz w:val="20"/>
                <w:szCs w:val="20"/>
              </w:rPr>
              <w:t>Be able to understand why the Continuous Learning Goals was selected and how individually it can be applied.</w:t>
            </w:r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2DCD8B9" w14:textId="048D424A" w:rsidR="00174587" w:rsidRDefault="00A007E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4F57A0">
              <w:rPr>
                <w:color w:val="000000" w:themeColor="text1"/>
                <w:sz w:val="20"/>
                <w:szCs w:val="20"/>
              </w:rPr>
              <w:t xml:space="preserve">Provide a Frayer model for the following  key words: </w:t>
            </w:r>
            <w:r w:rsidR="004F57A0" w:rsidRPr="004F57A0">
              <w:rPr>
                <w:sz w:val="20"/>
                <w:szCs w:val="20"/>
              </w:rPr>
              <w:t>command channels • coordinating staff • logistics • personal staff • staff channels</w:t>
            </w:r>
          </w:p>
          <w:p w14:paraId="49D90D96" w14:textId="005BA5C7" w:rsidR="7B4A52E0" w:rsidRDefault="7B4A52E0" w:rsidP="7B4A52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6D9F3CAA" w14:textId="5A0E1714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E13B5">
              <w:rPr>
                <w:bCs/>
                <w:color w:val="000000" w:themeColor="text1"/>
                <w:szCs w:val="24"/>
              </w:rPr>
              <w:t xml:space="preserve">- </w:t>
            </w:r>
            <w:r w:rsidRPr="007E13B5">
              <w:rPr>
                <w:bCs/>
                <w:color w:val="000000" w:themeColor="text1"/>
                <w:sz w:val="18"/>
                <w:szCs w:val="18"/>
              </w:rPr>
              <w:t>Acquire uniform items</w:t>
            </w:r>
          </w:p>
          <w:p w14:paraId="757FFFF5" w14:textId="02475496" w:rsidR="7B4A52E0" w:rsidRDefault="00A007E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A007E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A007E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A007E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A007EB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1A30AF1B" w:rsidR="7B4A52E0" w:rsidRDefault="00A007EB" w:rsidP="7B4A52E0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_______________</w:t>
            </w:r>
          </w:p>
        </w:tc>
      </w:tr>
      <w:tr w:rsidR="7B4A52E0" w14:paraId="311C2539" w14:textId="77777777" w:rsidTr="37A0B3A6">
        <w:trPr>
          <w:trHeight w:val="1295"/>
        </w:trPr>
        <w:tc>
          <w:tcPr>
            <w:tcW w:w="1665" w:type="dxa"/>
            <w:vAlign w:val="center"/>
          </w:tcPr>
          <w:p w14:paraId="15A4F775" w14:textId="749B6812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20" w:type="dxa"/>
            <w:vAlign w:val="center"/>
          </w:tcPr>
          <w:p w14:paraId="3C4E79F8" w14:textId="3C22CCBF" w:rsidR="00822E95" w:rsidRDefault="00C62491" w:rsidP="7B4A52E0">
            <w:pPr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 w:rsidR="003B4831">
              <w:rPr>
                <w:sz w:val="20"/>
                <w:szCs w:val="20"/>
              </w:rPr>
              <w:t>what I know about Command and Staff</w:t>
            </w:r>
          </w:p>
          <w:p w14:paraId="3F239328" w14:textId="37E803E3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55F3DDFF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71860AC5" w14:textId="77777777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</w:p>
          <w:p w14:paraId="759B2434" w14:textId="217BF744" w:rsidR="00CC6E10" w:rsidRDefault="00C62491" w:rsidP="00AC728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(30 mi</w:t>
            </w:r>
            <w:r w:rsidR="00AC7286">
              <w:rPr>
                <w:color w:val="000000" w:themeColor="text1"/>
                <w:sz w:val="20"/>
                <w:szCs w:val="20"/>
              </w:rPr>
              <w:t xml:space="preserve">ns) </w:t>
            </w:r>
            <w:r>
              <w:rPr>
                <w:color w:val="000000" w:themeColor="text1"/>
                <w:sz w:val="20"/>
                <w:szCs w:val="20"/>
              </w:rPr>
              <w:t xml:space="preserve">Reflective Assessment – </w:t>
            </w:r>
            <w:r w:rsidR="00AC7286">
              <w:rPr>
                <w:color w:val="000000" w:themeColor="text1"/>
                <w:sz w:val="20"/>
                <w:szCs w:val="20"/>
              </w:rPr>
              <w:t xml:space="preserve">How can each Staff position contribute to </w:t>
            </w:r>
            <w:r>
              <w:rPr>
                <w:color w:val="000000" w:themeColor="text1"/>
                <w:sz w:val="20"/>
                <w:szCs w:val="20"/>
              </w:rPr>
              <w:t>our current continuous Improvement goal</w:t>
            </w:r>
            <w:r w:rsidR="00AC7286">
              <w:rPr>
                <w:color w:val="000000" w:themeColor="text1"/>
                <w:sz w:val="20"/>
                <w:szCs w:val="20"/>
              </w:rPr>
              <w:t xml:space="preserve"> of improving discipline. Make sure your assessment is </w:t>
            </w:r>
            <w:r>
              <w:rPr>
                <w:color w:val="000000" w:themeColor="text1"/>
                <w:sz w:val="20"/>
                <w:szCs w:val="20"/>
              </w:rPr>
              <w:t>Specific, Measurable, Attainable, Relative, and Can be accomplished in the required time frame.</w:t>
            </w:r>
          </w:p>
        </w:tc>
        <w:tc>
          <w:tcPr>
            <w:tcW w:w="2280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37A0B3A6">
        <w:trPr>
          <w:trHeight w:val="1475"/>
        </w:trPr>
        <w:tc>
          <w:tcPr>
            <w:tcW w:w="1665" w:type="dxa"/>
            <w:vAlign w:val="center"/>
          </w:tcPr>
          <w:p w14:paraId="0B11AC67" w14:textId="25C038ED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20" w:type="dxa"/>
            <w:vAlign w:val="center"/>
          </w:tcPr>
          <w:p w14:paraId="1F8C272B" w14:textId="79EFB786" w:rsidR="7B4A52E0" w:rsidRDefault="00C62491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conduct Physical training </w:t>
            </w:r>
          </w:p>
          <w:p w14:paraId="362648DD" w14:textId="294C2638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1FEF9DAD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24F26C45" w14:textId="00E29C6B" w:rsidR="006832D8" w:rsidRDefault="006832D8" w:rsidP="00CC6E10">
            <w:pPr>
              <w:rPr>
                <w:sz w:val="20"/>
                <w:szCs w:val="20"/>
              </w:rPr>
            </w:pPr>
          </w:p>
          <w:p w14:paraId="6D012DC4" w14:textId="6015540F" w:rsidR="0040733D" w:rsidRDefault="00AC7286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(50 mins) </w:t>
            </w:r>
            <w:r w:rsidR="00C62491">
              <w:rPr>
                <w:sz w:val="20"/>
                <w:szCs w:val="20"/>
              </w:rPr>
              <w:t xml:space="preserve">Cadets will conduct </w:t>
            </w:r>
            <w:r w:rsidR="009A0D64">
              <w:rPr>
                <w:sz w:val="20"/>
                <w:szCs w:val="20"/>
              </w:rPr>
              <w:t>Physical Training per training plan initiated by S-7 (Physical Fitness Officer)</w:t>
            </w:r>
          </w:p>
          <w:p w14:paraId="4592798D" w14:textId="77777777" w:rsidR="00AC7286" w:rsidRDefault="00AC7286" w:rsidP="00AC7286">
            <w:pPr>
              <w:rPr>
                <w:sz w:val="20"/>
                <w:szCs w:val="20"/>
              </w:rPr>
            </w:pPr>
          </w:p>
          <w:p w14:paraId="6A856D85" w14:textId="5594B938" w:rsidR="00CC6E10" w:rsidRDefault="00AC7286" w:rsidP="00AC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(10 mins) Cadets will receive time to prepare for their next class.</w:t>
            </w:r>
          </w:p>
        </w:tc>
        <w:tc>
          <w:tcPr>
            <w:tcW w:w="2280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37A0B3A6">
        <w:trPr>
          <w:trHeight w:val="1331"/>
        </w:trPr>
        <w:tc>
          <w:tcPr>
            <w:tcW w:w="166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20" w:type="dxa"/>
            <w:vAlign w:val="center"/>
          </w:tcPr>
          <w:p w14:paraId="01C21E28" w14:textId="62346198" w:rsidR="7B4A52E0" w:rsidRDefault="7B4A52E0" w:rsidP="00C6249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 w:rsidR="009A0D64">
              <w:rPr>
                <w:sz w:val="20"/>
                <w:szCs w:val="20"/>
              </w:rPr>
              <w:t>ensure my Uniform is prepared for First Uniform wear</w:t>
            </w:r>
          </w:p>
        </w:tc>
        <w:tc>
          <w:tcPr>
            <w:tcW w:w="5025" w:type="dxa"/>
            <w:vAlign w:val="center"/>
          </w:tcPr>
          <w:p w14:paraId="4599FB23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1D8E4C0D" w14:textId="77777777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7203C36E" w14:textId="77777777" w:rsidR="00C62491" w:rsidRDefault="00C62491" w:rsidP="009A0D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9A0D64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 xml:space="preserve">0 mins) </w:t>
            </w:r>
            <w:r w:rsidR="009A0D64">
              <w:rPr>
                <w:color w:val="000000" w:themeColor="text1"/>
                <w:sz w:val="20"/>
                <w:szCs w:val="20"/>
              </w:rPr>
              <w:t xml:space="preserve">Cadets will engage in a what do you know about the uniform exercise. Cadets who need items of uniform inspection will be given time to get them.  </w:t>
            </w:r>
          </w:p>
          <w:p w14:paraId="7A7D0A89" w14:textId="156D5291" w:rsidR="00AC7286" w:rsidRDefault="00AC7286" w:rsidP="009A0D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8015C">
              <w:rPr>
                <w:b/>
                <w:sz w:val="20"/>
                <w:szCs w:val="20"/>
              </w:rPr>
              <w:t xml:space="preserve">select cadets) Make-up </w:t>
            </w:r>
            <w:r>
              <w:rPr>
                <w:b/>
                <w:sz w:val="20"/>
                <w:szCs w:val="20"/>
              </w:rPr>
              <w:t>quiz</w:t>
            </w:r>
            <w:r w:rsidRPr="00B8015C">
              <w:rPr>
                <w:b/>
                <w:sz w:val="20"/>
                <w:szCs w:val="20"/>
              </w:rPr>
              <w:t xml:space="preserve"> with refresher</w:t>
            </w:r>
          </w:p>
        </w:tc>
        <w:tc>
          <w:tcPr>
            <w:tcW w:w="2280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37A0B3A6">
        <w:trPr>
          <w:trHeight w:val="1241"/>
        </w:trPr>
        <w:tc>
          <w:tcPr>
            <w:tcW w:w="166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20" w:type="dxa"/>
            <w:vAlign w:val="center"/>
          </w:tcPr>
          <w:p w14:paraId="3B707949" w14:textId="28B67DA9" w:rsidR="7B4A52E0" w:rsidRDefault="7B4A52E0" w:rsidP="00C6249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 w:rsidR="00C62491">
              <w:rPr>
                <w:sz w:val="20"/>
                <w:szCs w:val="20"/>
              </w:rPr>
              <w:t>demonstrate my knowledge of marching movements</w:t>
            </w:r>
          </w:p>
        </w:tc>
        <w:tc>
          <w:tcPr>
            <w:tcW w:w="5025" w:type="dxa"/>
            <w:vAlign w:val="center"/>
          </w:tcPr>
          <w:p w14:paraId="79B5B76D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4B4AB8D3" w14:textId="77777777" w:rsidR="00C62491" w:rsidRDefault="00C62491" w:rsidP="00C62491">
            <w:pPr>
              <w:rPr>
                <w:sz w:val="20"/>
                <w:szCs w:val="20"/>
              </w:rPr>
            </w:pPr>
          </w:p>
          <w:p w14:paraId="5B54D7C5" w14:textId="77777777" w:rsidR="7B4A52E0" w:rsidRDefault="00C62491" w:rsidP="009A0D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C728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0 mins) Cadets will </w:t>
            </w:r>
            <w:r w:rsidR="009A0D64">
              <w:rPr>
                <w:sz w:val="20"/>
                <w:szCs w:val="20"/>
              </w:rPr>
              <w:t xml:space="preserve">demonstrate marching knowledge to include counter column </w:t>
            </w:r>
            <w:r w:rsidR="0040733D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0D64">
              <w:rPr>
                <w:color w:val="000000" w:themeColor="text1"/>
                <w:sz w:val="20"/>
                <w:szCs w:val="20"/>
              </w:rPr>
              <w:t>and will be introduced to the Drill routine for JPA.</w:t>
            </w:r>
          </w:p>
          <w:p w14:paraId="33E9943E" w14:textId="60E67E4D" w:rsidR="00AC7286" w:rsidRDefault="00AC7286" w:rsidP="009A0D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8015C">
              <w:rPr>
                <w:b/>
                <w:sz w:val="20"/>
                <w:szCs w:val="20"/>
              </w:rPr>
              <w:t xml:space="preserve">select cadets) Make-up </w:t>
            </w:r>
            <w:r>
              <w:rPr>
                <w:b/>
                <w:sz w:val="20"/>
                <w:szCs w:val="20"/>
              </w:rPr>
              <w:t>quiz</w:t>
            </w:r>
            <w:r w:rsidRPr="00B8015C">
              <w:rPr>
                <w:b/>
                <w:sz w:val="20"/>
                <w:szCs w:val="20"/>
              </w:rPr>
              <w:t xml:space="preserve"> with refresher</w:t>
            </w:r>
          </w:p>
        </w:tc>
        <w:tc>
          <w:tcPr>
            <w:tcW w:w="2280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4070261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7BD68333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61D14" w14:textId="77777777" w:rsidR="00A007EB" w:rsidRDefault="00A007EB">
      <w:pPr>
        <w:spacing w:after="0" w:line="240" w:lineRule="auto"/>
      </w:pPr>
      <w:r>
        <w:separator/>
      </w:r>
    </w:p>
  </w:endnote>
  <w:endnote w:type="continuationSeparator" w:id="0">
    <w:p w14:paraId="545DE64C" w14:textId="77777777" w:rsidR="00A007EB" w:rsidRDefault="00A0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41967" w14:textId="77777777" w:rsidR="00A007EB" w:rsidRDefault="00A007EB">
      <w:pPr>
        <w:spacing w:after="0" w:line="240" w:lineRule="auto"/>
      </w:pPr>
      <w:r>
        <w:separator/>
      </w:r>
    </w:p>
  </w:footnote>
  <w:footnote w:type="continuationSeparator" w:id="0">
    <w:p w14:paraId="0EF22883" w14:textId="77777777" w:rsidR="00A007EB" w:rsidRDefault="00A007E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4D1C"/>
    <w:multiLevelType w:val="hybridMultilevel"/>
    <w:tmpl w:val="53A0BA92"/>
    <w:lvl w:ilvl="0" w:tplc="77DE00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12015"/>
    <w:rsid w:val="0001481D"/>
    <w:rsid w:val="00032017"/>
    <w:rsid w:val="00083621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1069D5"/>
    <w:rsid w:val="00107E0D"/>
    <w:rsid w:val="00130CEC"/>
    <w:rsid w:val="0014688A"/>
    <w:rsid w:val="00162D5B"/>
    <w:rsid w:val="00174587"/>
    <w:rsid w:val="00181A75"/>
    <w:rsid w:val="00197151"/>
    <w:rsid w:val="001B59C5"/>
    <w:rsid w:val="001D294A"/>
    <w:rsid w:val="001D65FD"/>
    <w:rsid w:val="001E1524"/>
    <w:rsid w:val="00206042"/>
    <w:rsid w:val="00210D3C"/>
    <w:rsid w:val="00215CCC"/>
    <w:rsid w:val="00226314"/>
    <w:rsid w:val="00251F2D"/>
    <w:rsid w:val="002656B5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65E7D"/>
    <w:rsid w:val="003802A6"/>
    <w:rsid w:val="00382F3A"/>
    <w:rsid w:val="003B4831"/>
    <w:rsid w:val="003C3B0A"/>
    <w:rsid w:val="003C3D9D"/>
    <w:rsid w:val="003E4EBB"/>
    <w:rsid w:val="0040477A"/>
    <w:rsid w:val="0040733D"/>
    <w:rsid w:val="004208A9"/>
    <w:rsid w:val="004332F5"/>
    <w:rsid w:val="00441E2E"/>
    <w:rsid w:val="00463516"/>
    <w:rsid w:val="00473BBD"/>
    <w:rsid w:val="00490A44"/>
    <w:rsid w:val="004A2543"/>
    <w:rsid w:val="004A67DC"/>
    <w:rsid w:val="004B3E6A"/>
    <w:rsid w:val="004C5D00"/>
    <w:rsid w:val="004D74D1"/>
    <w:rsid w:val="004E4C5F"/>
    <w:rsid w:val="004F108B"/>
    <w:rsid w:val="004F57A0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96DCE"/>
    <w:rsid w:val="005B4F2C"/>
    <w:rsid w:val="005D30B4"/>
    <w:rsid w:val="005D773F"/>
    <w:rsid w:val="00600A76"/>
    <w:rsid w:val="00664C16"/>
    <w:rsid w:val="006766FC"/>
    <w:rsid w:val="006832D8"/>
    <w:rsid w:val="006A4292"/>
    <w:rsid w:val="006A6347"/>
    <w:rsid w:val="006B67BC"/>
    <w:rsid w:val="006C21FF"/>
    <w:rsid w:val="006E2C7D"/>
    <w:rsid w:val="006E5E00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13B5"/>
    <w:rsid w:val="007E7CAA"/>
    <w:rsid w:val="00802F74"/>
    <w:rsid w:val="0080799B"/>
    <w:rsid w:val="00822E95"/>
    <w:rsid w:val="00825C2A"/>
    <w:rsid w:val="00835398"/>
    <w:rsid w:val="00863D75"/>
    <w:rsid w:val="008672C1"/>
    <w:rsid w:val="00890746"/>
    <w:rsid w:val="00892BDA"/>
    <w:rsid w:val="008956C9"/>
    <w:rsid w:val="008A72F6"/>
    <w:rsid w:val="008E2890"/>
    <w:rsid w:val="00927CE6"/>
    <w:rsid w:val="0096039E"/>
    <w:rsid w:val="00960698"/>
    <w:rsid w:val="0096378B"/>
    <w:rsid w:val="00972908"/>
    <w:rsid w:val="00984930"/>
    <w:rsid w:val="009A05B1"/>
    <w:rsid w:val="009A0D64"/>
    <w:rsid w:val="009A2941"/>
    <w:rsid w:val="009A6260"/>
    <w:rsid w:val="009C51FF"/>
    <w:rsid w:val="009D0F1B"/>
    <w:rsid w:val="009E2E18"/>
    <w:rsid w:val="009F1050"/>
    <w:rsid w:val="00A007EB"/>
    <w:rsid w:val="00A2401E"/>
    <w:rsid w:val="00A35A04"/>
    <w:rsid w:val="00A51262"/>
    <w:rsid w:val="00A977D3"/>
    <w:rsid w:val="00AB2232"/>
    <w:rsid w:val="00AB2328"/>
    <w:rsid w:val="00AB277A"/>
    <w:rsid w:val="00AB6688"/>
    <w:rsid w:val="00AC7286"/>
    <w:rsid w:val="00B02964"/>
    <w:rsid w:val="00B06D1F"/>
    <w:rsid w:val="00B2372E"/>
    <w:rsid w:val="00B40388"/>
    <w:rsid w:val="00B464E3"/>
    <w:rsid w:val="00B538A1"/>
    <w:rsid w:val="00B64D5E"/>
    <w:rsid w:val="00B73CCB"/>
    <w:rsid w:val="00B76182"/>
    <w:rsid w:val="00BB00E0"/>
    <w:rsid w:val="00BE075F"/>
    <w:rsid w:val="00BE47A5"/>
    <w:rsid w:val="00BE5AE5"/>
    <w:rsid w:val="00C00A7A"/>
    <w:rsid w:val="00C03CE8"/>
    <w:rsid w:val="00C13587"/>
    <w:rsid w:val="00C56468"/>
    <w:rsid w:val="00C564C4"/>
    <w:rsid w:val="00C62491"/>
    <w:rsid w:val="00C64DF2"/>
    <w:rsid w:val="00CA5F88"/>
    <w:rsid w:val="00CB5627"/>
    <w:rsid w:val="00CC6E10"/>
    <w:rsid w:val="00CE3880"/>
    <w:rsid w:val="00D04AFA"/>
    <w:rsid w:val="00D04E6C"/>
    <w:rsid w:val="00D0778A"/>
    <w:rsid w:val="00D12BD3"/>
    <w:rsid w:val="00D16A48"/>
    <w:rsid w:val="00D36DD4"/>
    <w:rsid w:val="00D558C2"/>
    <w:rsid w:val="00D804A5"/>
    <w:rsid w:val="00DA45D5"/>
    <w:rsid w:val="00DA4ECD"/>
    <w:rsid w:val="00DB1AD4"/>
    <w:rsid w:val="00DC3AC3"/>
    <w:rsid w:val="00DE28ED"/>
    <w:rsid w:val="00DF0600"/>
    <w:rsid w:val="00E064DE"/>
    <w:rsid w:val="00E30F25"/>
    <w:rsid w:val="00E47E1D"/>
    <w:rsid w:val="00E86032"/>
    <w:rsid w:val="00EC7C1A"/>
    <w:rsid w:val="00F109A4"/>
    <w:rsid w:val="00F27920"/>
    <w:rsid w:val="00F3263B"/>
    <w:rsid w:val="00F85AA9"/>
    <w:rsid w:val="00F8763C"/>
    <w:rsid w:val="00FA7C4E"/>
    <w:rsid w:val="00FE17F3"/>
    <w:rsid w:val="0114FFDD"/>
    <w:rsid w:val="01E7ACED"/>
    <w:rsid w:val="02114F26"/>
    <w:rsid w:val="024F18AB"/>
    <w:rsid w:val="029A529B"/>
    <w:rsid w:val="037A4214"/>
    <w:rsid w:val="041A3153"/>
    <w:rsid w:val="04A50060"/>
    <w:rsid w:val="0724E917"/>
    <w:rsid w:val="07D2A1D5"/>
    <w:rsid w:val="0A343642"/>
    <w:rsid w:val="0B86FE0F"/>
    <w:rsid w:val="0BD2BDB9"/>
    <w:rsid w:val="0C07852D"/>
    <w:rsid w:val="0D9623BC"/>
    <w:rsid w:val="0DB7F457"/>
    <w:rsid w:val="0DCDDA76"/>
    <w:rsid w:val="0E7F20D1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A0F5489"/>
    <w:rsid w:val="1AE39961"/>
    <w:rsid w:val="1C63B5C6"/>
    <w:rsid w:val="1CACC8D8"/>
    <w:rsid w:val="1D544BA2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6A950E1"/>
    <w:rsid w:val="37A0B3A6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EBECCA4"/>
    <w:rsid w:val="5044546F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446DC0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boe.instructure.com/courses/195466/pages/ctae-army-leadership-education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JROTC</cp:lastModifiedBy>
  <cp:revision>2</cp:revision>
  <cp:lastPrinted>2022-07-25T16:58:00Z</cp:lastPrinted>
  <dcterms:created xsi:type="dcterms:W3CDTF">2025-08-25T12:55:00Z</dcterms:created>
  <dcterms:modified xsi:type="dcterms:W3CDTF">2025-08-25T12:55:00Z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